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269</w:t>
      </w:r>
    </w:p>
    <w:p>
      <w:r>
        <w:t>Bundesgericht (BGE), 1998-09-10, FR</w:t>
      </w:r>
    </w:p>
    <w:p>
      <w:r>
        <w:rPr>
          <w:b/>
        </w:rPr>
        <w:t xml:space="preserve">Quelle: </w:t>
      </w:r>
      <w:r>
        <w:t>https://mcp.opencaselaw.ch/entscheid/bge_124 IV 269</w:t>
      </w:r>
    </w:p>
    <w:p>
      <w:r>
        <w:t>FR: ATF 124 IV 269</w:t>
      </w:r>
    </w:p>
    <w:p>
      <w:r>
        <w:t>IT: DTF 124 IV 269</w:t>
      </w:r>
    </w:p>
    <w:p>
      <w:pPr>
        <w:pStyle w:val="Heading2"/>
      </w:pPr>
      <w:r>
        <w:t>Regeste</w:t>
      </w:r>
    </w:p>
    <w:p>
      <w:r>
        <w:t>Regeste Art. 260 StGB, Landfriedensbruch. Zusammenfassung der Voraussetzungen für die Anwendung dieser Bestimmung (E. 2). Art. 69 und 110 Ziff. 7 StGB, Anrechnung der Untersuchungshaft. Der alleinige Umstand, dass die Untersuchungshaft durch einen Polizeioffizier und nicht durch einen Richter angeordnet wurde, rechtfertigt es nicht, sie nicht an die Freiheitsstrafe anzurechnen (E. 4).</w:t>
      </w:r>
    </w:p>
    <w:p>
      <w:pPr>
        <w:pStyle w:val="Heading2"/>
      </w:pPr>
      <w:r>
        <w:t>Erwägungen</w:t>
      </w:r>
    </w:p>
    <w:p>
      <w:r>
        <w:rPr>
          <w:b/>
        </w:rPr>
        <w:t>E. 1</w:t>
      </w:r>
    </w:p>
    <w:p>
      <w:r>
        <w:t>(Recevabilité).</w:t>
      </w:r>
    </w:p>
    <w:p>
      <w:r>
        <w:rPr>
          <w:b/>
        </w:rPr>
        <w:t>E. 2</w:t>
      </w:r>
    </w:p>
    <w:p>
      <w:r>
        <w:t>a) Selon les constatations cantonales qui lient la Cour de cassation ( art. 277bis al. 1 PPF ), le recourant s'est introduit sans droit dans un bâtiment appartenant à autrui - peu importe qu'il s'agisse de locaux commerciaux (cf. ATF 108 IV 33 consid. 5a) et qu'ils aient été inoccupés (cf. ATF 118 IV 167 consid. 3) -, agissant manifestement, au vu des circonstances (cf. ATF 108 IV 33 consid. 5b; ATF 90 IV 74 consid. 2b p. 77), contre la volonté de l'ayant droit, le sachant et le voulant; dès lors qu'une plainte pénale a été valablement déposée en temps utile, sa condamnation pour violation de domicile au sens de l' art. 186 CP , qui n'est d'ailleurs pas contestée, ne viole en rien le droit fédéral. Lorsque le participant à une émeute commet lui-même une infraction, celle-ci peut être retenue en concours avec l' art. 260 CP (cf. ATF 108 IV 176 consid. 3b; cas de concours entre l' art. 260 CP et l' art. 186 CP : ATF 108 IV 33 ). b) Le recourant conteste s'être rendu coupable d'émeute au sens de l' art. 260 al. 1 CP . Selon cette disposition, "celui qui aura pris part à un attroupement formé en public et au cours duquel des violences ont été commises collectivement contre des personnes ou des propriétés sera puni de l'emprisonnement ou de l'amende". L'attroupement est la réunion d'un nombre plus ou moins élevé de personnes suivant les circonstances, qui apparaît extérieurement comme une force unie et qui est animée d'un état d'esprit menaçant pour la paix publique; peu importe que la foule se soit rassemblée BGE 124 IV 269 S. 271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 ATF 108 IV 33 consid. 1a). L'attroupement est formé en public, lorsqu'un nombre indéterminé de personnes peut s'y joindre librement ( ATF 108 IV 33 consid. 1a, 175 consid. 4). Les violences commises collectivement contre des personnes ou des propriétés constituent une condition objective de punissabilité ( ATF 108 IV 33 consid. 2). Ces violences doivent être symptomatiques de l'état d'esprit qui anime la foule; elles doivent apparaître comme un acte de l'attroupement ( ATF 108 IV 33 consid. 2). La violence suppose une action agressive contre des personnes ou des choses, mais pas nécessairement l'emploi d'une force physique particulière ( ATF 108 IV 175 consid. 4). Barbouiller le bien d'autrui avec un spray constitue un acte de violence au sens de l' art. 260 al. 1 CP ( ATF 108 IV 175 consid. 4). Pour retenir l'émeute, il suffit que l'un ou l'autre des participants à l'attroupement se livre à des violences caractéristiques de l'état d'esprit animant le groupe ( ATF 108 IV 33 consid. 2).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 ATF 108 IV 33 consid. 3a). c) En l'espèce, il résulte des constatations cantonales que plus d'une centaine de personnes étaient assemblées vers 19 h au rond-point de Rive. D'après ce que l'on comprend, il s'agissait d'une manifestation favorable aux squatters et hostile aux propriétaires d'immeubles inoccupés. Certains manifestants transportaient des bidons de peinture dans des caddies. Assemblés sur cette place, les manifestants ont décidé d'envahir massivement un bâtiment commercial inoccupé appartenant à une grande banque. Comme on l'a vu, il importe peu que la manifestation ait été conçue à l'origine BGE 124 IV 269 S. 272 comme pacifique ou que le cortège dans les rues qui a précédé ait été pacifique; arrivés au rond-point de Rive, les manifestants ont décidé de commettre collectivement une violation de domicile, s'en prenant ainsi au bien d'autrui. Dès le moment où la foule assemblée au rond-point de Rive s'est lancée en grand nombre dans cette opération illicite, elle est devenue un attroupement au sens de l' art. 260 al. 1 CP , menaçant la paix publique. L'attroupement a été formé en public puisqu'un nombre indéterminé de personnes, se trouvant sur place, pouvait s'y joindre. Que la foule ameutée se soit ensuite rendue dans un immeuble privé ne change rien au fait que l'attroupement a été formé en public. Au demeurant, la notion contenue à l' art. 260 al. 1 CP ne suppose pas une distinction stricte entre les faits qui se produisent sur terrain privé et ceux qui se produisent sur terrain public; l'attroupement est formé en public si n'importe quel passant peut s'y joindre. La foule ayant envahi l'immeuble, il a été constaté que des faux plafonds ont été alors arrachés et des murs ou agencements sprayés. Il s'agit là de violences commises collectivement contre la propriété d'autrui. Il importe peu, comme on l'a vu, que le recourant n'ait pas lui-même causé des dégâts ou qu'il ne les ait pas approuvés. Ces dégâts sont caractéristiques de l'hostilité manifestée à l'égard des propriétaires qui laissent des bâtiments inoccupés. La condition objective de punissabilité est donc également remplie. Il a été constaté que le recourant est entré volontairement dans l'immeuble et qu'il y est resté pendant un certain temps, constatant notamment que des dégâts avaient été causés. Il s'est ainsi manifestement associé à l'action collective d'une foule ameutée menaçant la paix publique. Il n'est pas resté sur la voie publique comme un simple spectateur, mais il a pénétré dans les lieux en exprimant ainsi clairement sa volonté de s'associer à l'action collective. Cette action était telle que des actes de vandalisme étaient à l'évidence prévisibles, ce qui suffit pour dire que le recourant a participé, objectivement et subjectivement, à un attroupement formé en public au cours duquel des violences ont été commises collectivement contre la propriété d'autrui. La condamnation du recourant pour émeute au sens de l' art. 260 al. 1 CP ne viole donc pas le droit fédéral.</w:t>
      </w:r>
    </w:p>
    <w:p>
      <w:r>
        <w:rPr>
          <w:b/>
        </w:rPr>
        <w:t>E. 3</w:t>
      </w:r>
    </w:p>
    <w:p>
      <w:r>
        <w:t>Le recourant ne critique pas la peine qui lui a été infligée, dont on ne voit pas en quoi elle violerait le droit fédéral. Il n'y a donc pas lieu de revenir sur cette question.</w:t>
      </w:r>
    </w:p>
    <w:p>
      <w:r>
        <w:rPr>
          <w:b/>
        </w:rPr>
        <w:t>E. 4</w:t>
      </w:r>
    </w:p>
    <w:p>
      <w:r>
        <w:t>Selon l'arrêt cantonal, le recourant a été interpellé le 10 octobre 1996. Il explique qu'un mandat d'amener a été décerné BGE 124 IV 269 S. 273 contre lui par l'officier de police et qu'il n'a été libéré par le juge d'instruction que le lendemain. Dans ses observations, le Procureur général ne le conteste pas. La détention préventive, mentionnée à l' art. 69 CP , est définie à l' art. 110 ch. 7 CP . Est considérée comme détention préventive toute détention ordonnée au cours d'un procès pénal pour les besoins de l'instruction ou pour motif de sûreté. Selon la doctrine, il y a détention préventive dès que l'accusé est privé de sa liberté durant la procédure pénale pendant au moins trois heures (TRECHSEL, Kurzkommentar, ad art. 69 no 2; PHILIPPE RUEDIN, Die Anrechnung der Untersuchungshaft nach dem Schweizerischen Strafgesetzbuch, thèse de Zurich 1979 p. 49). Dans l' ATF 113 Ia 177 consid. 1 - invoqué par le Procureur général -, il a été retenu qu'une mise à disposition du juge, en cellule, pendant quatre heures devait être assimilée à une arrestation ou à une détention, et non à une simple rétention policière (dans ce sens également: PIQUEREZ, Précis de procédure pénale suisse, 2e éd., p. 350 no 1834). Comme le recourant a été interpellé le 10 octobre 1996 et libéré le lendemain seulement, après son audition par le juge d'instruction, il faut en déduire que la privation de liberté qu'il a subie, par sa durée, constitue une détention préventive au sens de l' art. 110 ch. 7 CP . Le Procureur général soutient le contraire en faisant valoir que la détention a été ordonnée par un officier de police et non par un juge. Cette distinction, qui dépend des règles de compétence cantonales, ne trouve aucun point d'appui dans le droit fédéral. S'agissant d'imputer la détention préventive, on ne voit pas pourquoi un jour de détention décidé par le juge d'instruction pourrait être pris en compte, alors qu'un jour de détention ordonné par un officier de police ne le pourrait pas. L'autorité compétente ne change rien au fait que la personne est effectivement privée de sa liberté pour les besoins de la procédure pénale. La distinction que le Procureur général voudrait faire ne peut donc pas être suivie. L'arrêt cantonal ne mentionne aucune raison de ne pas imputer la détention préventive ( art. 69 CP ; ATF 124 IV 1 consid. 2a) et on n'en discerne aucune. Il semble même que l'autorité cantonale ait perdu de vue l'existence de cette détention préventive. Dans la mesure où elle n'a pas imputé, sans aucune raison, la détention préventive subie, l'autorité cantonale a violé l' art. 69 CP et l'arrêt attaqué doit être annulé sur ce point.</w:t>
      </w:r>
    </w:p>
    <w:p>
      <w:r>
        <w:rPr>
          <w:b/>
        </w:rPr>
        <w:t>E. 5</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